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stopreformattato"/>
        <w:spacing w:lineRule="auto" w:line="266"/>
        <w:jc w:val="both"/>
        <w:rPr>
          <w:rFonts w:ascii="Arial" w:hAnsi="Arial" w:eastAsia="Times New Roman" w:cs="Arial"/>
          <w:b/>
          <w:bCs/>
          <w:color w:val="00000A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 xml:space="preserve">Allegato E - </w:t>
      </w:r>
    </w:p>
    <w:p>
      <w:pPr>
        <w:pStyle w:val="WW-Default"/>
        <w:spacing w:lineRule="auto" w:line="266"/>
        <w:jc w:val="center"/>
        <w:rPr>
          <w:rFonts w:ascii="Arial" w:hAnsi="Arial"/>
          <w:color w:val="00000A"/>
          <w:sz w:val="22"/>
          <w:szCs w:val="22"/>
        </w:rPr>
      </w:pPr>
      <w:r>
        <w:rPr>
          <w:rFonts w:eastAsia="Times New Roman" w:cs="Arial" w:ascii="Arial" w:hAnsi="Arial"/>
          <w:b/>
          <w:bCs/>
          <w:color w:val="00000A"/>
          <w:sz w:val="22"/>
          <w:szCs w:val="22"/>
        </w:rPr>
        <w:t xml:space="preserve">Patto di Integrità </w:t>
      </w:r>
    </w:p>
    <w:p>
      <w:pPr>
        <w:pStyle w:val="WW-Default"/>
        <w:spacing w:lineRule="auto" w:line="266"/>
        <w:jc w:val="center"/>
        <w:rPr>
          <w:rFonts w:ascii="Arial" w:hAnsi="Arial"/>
          <w:color w:val="00000A"/>
          <w:sz w:val="22"/>
          <w:szCs w:val="22"/>
        </w:rPr>
      </w:pPr>
      <w:r>
        <w:rPr>
          <w:rFonts w:ascii="Arial" w:hAnsi="Arial"/>
          <w:color w:val="00000A"/>
          <w:sz w:val="22"/>
          <w:szCs w:val="22"/>
        </w:rPr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b/>
          <w:bCs/>
          <w:sz w:val="22"/>
          <w:szCs w:val="22"/>
        </w:rPr>
      </w:pPr>
      <w:r>
        <w:rPr>
          <w:rFonts w:eastAsia="Times New Roman" w:cs="Arial" w:ascii="Arial" w:hAnsi="Arial"/>
          <w:b/>
          <w:bCs/>
          <w:color w:val="00000A"/>
          <w:sz w:val="22"/>
          <w:szCs w:val="22"/>
        </w:rPr>
        <w:t>Art. 1, comma 17, della legge 190/2012 da allegare ai contratti d’appalto e di concessione di lavori, servizi o forniture (Paragrafo 19 del PTPCT 2026-2028</w:t>
      </w:r>
      <w:bookmarkStart w:id="0" w:name="_GoBack"/>
      <w:bookmarkEnd w:id="0"/>
      <w:r>
        <w:rPr>
          <w:rFonts w:eastAsia="Times New Roman" w:cs="Arial" w:ascii="Arial" w:hAnsi="Arial"/>
          <w:b/>
          <w:bCs/>
          <w:color w:val="00000A"/>
          <w:sz w:val="22"/>
          <w:szCs w:val="22"/>
        </w:rPr>
        <w:t xml:space="preserve">)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b/>
          <w:bCs/>
          <w:sz w:val="22"/>
          <w:szCs w:val="22"/>
        </w:rPr>
      </w:pPr>
      <w:r>
        <w:rPr>
          <w:rFonts w:eastAsia="Times New Roman" w:cs="Arial" w:ascii="Arial" w:hAnsi="Arial"/>
          <w:b/>
          <w:bCs/>
          <w:sz w:val="22"/>
          <w:szCs w:val="22"/>
        </w:rPr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b/>
          <w:bCs/>
          <w:sz w:val="22"/>
          <w:szCs w:val="22"/>
        </w:rPr>
        <w:t xml:space="preserve">Articolo 1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Il presente Patto d’integrità obbliga stazione appaltante ed operatore economico ad improntare i propri comportamenti ai principi di lealtà, trasparenza e correttezza.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b/>
          <w:bCs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Nel caso l’operatore economico sia un consorzio ordinario, un raggruppamento temporaneo o altra aggregazione di imprese, le obbligazioni del presente investono tutti i partecipanti al consorzio, al raggruppamento, all’aggregazione.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b/>
          <w:bCs/>
          <w:sz w:val="22"/>
          <w:szCs w:val="22"/>
        </w:rPr>
      </w:pPr>
      <w:r>
        <w:rPr>
          <w:rFonts w:eastAsia="Times New Roman" w:cs="Arial" w:ascii="Arial" w:hAnsi="Arial"/>
          <w:b/>
          <w:bCs/>
          <w:sz w:val="22"/>
          <w:szCs w:val="22"/>
        </w:rPr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b/>
          <w:bCs/>
          <w:sz w:val="22"/>
          <w:szCs w:val="22"/>
        </w:rPr>
        <w:t xml:space="preserve">Articolo 2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Il presente Patto di integrità costituisce parte integrante di ogni contratto affidato dalla stazione appaltante, il cui valore supera la vigente soglia per l’affidamento diretto.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Pertanto, in caso di aggiudicazione, verrà allegato al contratto d’appalto.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b/>
          <w:bCs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In sede di gara l’operatore economico, pena l’esclusione, dichiara di accettare ed approvare la disciplina del presente.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b/>
          <w:bCs/>
          <w:sz w:val="22"/>
          <w:szCs w:val="22"/>
        </w:rPr>
      </w:pPr>
      <w:r>
        <w:rPr>
          <w:rFonts w:eastAsia="Times New Roman" w:cs="Arial" w:ascii="Arial" w:hAnsi="Arial"/>
          <w:b/>
          <w:bCs/>
          <w:sz w:val="22"/>
          <w:szCs w:val="22"/>
        </w:rPr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b/>
          <w:bCs/>
          <w:sz w:val="22"/>
          <w:szCs w:val="22"/>
        </w:rPr>
        <w:t xml:space="preserve">Articolo 3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L’Appaltatore: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1. dichiara di non aver influenzato in alcun modo, direttamente o indirettamente, la compilazione dei documenti di gara allo scopo di condizionare la scelta dell’aggiudicatario;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2. dichiara di non aver corrisposto, né promesso di corrispondere ad alcuno, e s’impegna a non corrispondere mai né a promettere mai di corrispondere ad alcuno direttamente o tramite terzi, denaro, regali o altre utilità per agevolare l’aggiudicazione e la gestione del successivo rapporto contrattuale;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3. esclude ogni forma di mediazione, o altra opera di terzi, finalizzata all’aggiudicazione ed alla successiva gestione del rapporto contrattuale;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4. assicura di non trovarsi in situazione di controllo o di collegamento, formale o sostanziale, con altri concorrenti e che non si è accordato, e non si accorderà, con altri partecipanti alla procedura;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5. assicura di non aver consolidato intese o pratiche vietate restrittive o lesive della concorrenza e del mercato;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6. segnala, al responsabile della prevenzione della corruzione della stazione appaltante, ogni irregolarità, distorsione, tentativo di turbativa della gara e della successiva gestione del rapporto contrattuale, poste in essere da chiunque e, in particolare, da amministratori, dipendenti o collaboratori della stazione appaltante; al segnalante di applicano, per quanto compatibili, le tutele previste dall’articolo 1 comma 51 della legge 190/2012;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7. informa i propri collaboratori e dipendenti degli obblighi recati dal presente e vigila affinché detti obblighi siano osservati da tutti i collaboratori e dipendenti;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8. collabora con le forze di pubblica sicurezza, denunciando ogni tentativo di estorsione, intimidazione o condizionamento quali, a titolo d’esempio: richieste di tangenti, pressioni per indirizzare l’assunzione di personale o l’affidamento di subappalti, danneggiamenti o furti di beni personali o in cantiere;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9. acquisisce, con le stesse modalità e gli stessi adempimenti previsti dalla normativa vigente in materia di subappalto, la preventiva autorizzazione della stazione appaltante anche per cottimi e sub-affidamenti relativi alle seguenti categorie: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a) trasporto di materiali a discarica per conto di terzi;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b) trasporto, anche transfrontaliero, e smaltimento rifiuti per conto terzi;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c) estrazione, fornitura e trasporto terra e materiali inerti;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d) confezionamento, fornitura e trasporto di calcestruzzo e di bitume;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e) noli a freddo di macchinari;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f) forniture di ferro lavorato;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g) noli a caldo;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h) autotrasporti per conto di terzi;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i) guardiania dei cantieri;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10. inserisce le clausole di integrità e anticorruzione di cui sopra nei contratti di subappalto, pena il diniego dell’autorizzazione;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b/>
          <w:bCs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11.comunica tempestivamente, alla Prefettura e all’Autorità giudiziaria, tentativi di concussione che si siano, in qualsiasi modo, manifestati nei confronti dell’imprenditore, degli organi sociali o dei dirigenti di impresa; questo adempimento ha natura essenziale ai fini della esecuzione del contratto; il relativo inadempimento darà luogo alla risoluzione del contratto stesso, ai sensi dell’articolo 1456 del c.c.; medesima risoluzione interverrà ogni qualvolta nei confronti di pubblici amministratori, che abbiano esercitato funzioni relative alla stipula ed esecuzione del contratto, sia disposta misura cautelare o sia intervenuto rinvio a giudizio per il delitto previsto dall’articolo 317 del c.p.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/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b/>
          <w:bCs/>
          <w:sz w:val="22"/>
          <w:szCs w:val="22"/>
        </w:rPr>
        <w:t xml:space="preserve">Articolo 4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La stazione appaltante: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1. rispetta i principi di lealtà, trasparenza e correttezza;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2. avvia tempestivamente procedimenti disciplinari nei confronti del personale, intervenuto nella procedura di gara e nell’esecuzione del contratto, in caso di violazione di detti principi;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3. avvia tempestivamente procedimenti disciplinari nei confronti del personale nel caso di violazione del codice di comportamento;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4. si avvale della clausola risolutiva espressa, di cui all’articolo 1456 c.c., ogni qualvolta nei confronti dell’operatore economico, di taluno dei componenti la compagine sociale o dei dirigenti dell’impresa, sia stata disposta misura cautelare o sia intervenuto rinvio a giudizio per taluno dei delitti di cui agli articoli 317, 318, 319, 319-bis, 319-ter, 319-quater, 320, 322, 322-bis, 346-bis, 353 e 353-bis; </w:t>
      </w:r>
    </w:p>
    <w:p>
      <w:pPr>
        <w:pStyle w:val="WW-Default"/>
        <w:spacing w:lineRule="auto" w:line="266"/>
        <w:jc w:val="both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5. segnala, senza indugio, ogni illecito all’Autorità giudiziaria; </w:t>
      </w:r>
    </w:p>
    <w:p>
      <w:pPr>
        <w:pStyle w:val="WW-Default"/>
        <w:spacing w:lineRule="auto" w:line="266"/>
        <w:jc w:val="both"/>
        <w:rPr>
          <w:rFonts w:ascii="Arial" w:hAnsi="Arial" w:eastAsia="Times New Roman"/>
          <w:b/>
          <w:bCs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6. rende pubblici i dati riguardanti la procedura e l’aggiudicazione in esecuzione della normativa in materia di trasparenza. </w:t>
      </w:r>
    </w:p>
    <w:p>
      <w:pPr>
        <w:pStyle w:val="Normal"/>
        <w:spacing w:lineRule="auto" w:line="266"/>
        <w:jc w:val="both"/>
        <w:rPr>
          <w:rFonts w:ascii="Arial" w:hAnsi="Arial" w:eastAsia="Times New Roman"/>
          <w:color w:val="000000"/>
          <w:sz w:val="22"/>
          <w:szCs w:val="22"/>
        </w:rPr>
      </w:pPr>
      <w:r>
        <w:rPr/>
      </w:r>
    </w:p>
    <w:p>
      <w:pPr>
        <w:pStyle w:val="Normal"/>
        <w:spacing w:lineRule="auto" w:line="266"/>
        <w:jc w:val="both"/>
        <w:rPr>
          <w:rFonts w:ascii="Arial" w:hAnsi="Arial" w:eastAsia="Times New Roman"/>
          <w:color w:val="000000"/>
          <w:sz w:val="22"/>
          <w:szCs w:val="22"/>
        </w:rPr>
      </w:pPr>
      <w:r>
        <w:rPr>
          <w:rFonts w:eastAsia="Times New Roman" w:ascii="Arial" w:hAnsi="Arial"/>
          <w:b/>
          <w:bCs/>
          <w:color w:val="000000"/>
          <w:sz w:val="22"/>
          <w:szCs w:val="22"/>
        </w:rPr>
        <w:t>Articolo 5</w:t>
      </w:r>
      <w:r>
        <w:rPr>
          <w:rFonts w:eastAsia="Times New Roman" w:ascii="Arial" w:hAnsi="Arial"/>
          <w:color w:val="000000"/>
          <w:sz w:val="22"/>
          <w:szCs w:val="22"/>
        </w:rPr>
        <w:t xml:space="preserve"> </w:t>
      </w:r>
    </w:p>
    <w:p>
      <w:pPr>
        <w:pStyle w:val="Normal"/>
        <w:spacing w:lineRule="auto" w:line="266"/>
        <w:jc w:val="both"/>
        <w:rPr>
          <w:rFonts w:ascii="Arial" w:hAnsi="Arial" w:eastAsia="Times New Roman"/>
          <w:color w:val="000000"/>
          <w:sz w:val="22"/>
          <w:szCs w:val="22"/>
        </w:rPr>
      </w:pPr>
      <w:r>
        <w:rPr>
          <w:rFonts w:eastAsia="Times New Roman" w:ascii="Arial" w:hAnsi="Arial"/>
          <w:color w:val="000000"/>
          <w:sz w:val="22"/>
          <w:szCs w:val="22"/>
        </w:rPr>
        <w:t xml:space="preserve">La violazione del Patto di integrità è decretata dalla stazione appaltante a conclusione di un procedimento di verifica, nel quale è assicurata all’operatore economico la possibilità di depositare memorie difensive e controdeduzioni. </w:t>
      </w:r>
    </w:p>
    <w:p>
      <w:pPr>
        <w:pStyle w:val="Normal"/>
        <w:spacing w:lineRule="auto" w:line="266"/>
        <w:jc w:val="both"/>
        <w:rPr>
          <w:rFonts w:ascii="Arial" w:hAnsi="Arial" w:eastAsia="Times New Roman"/>
          <w:color w:val="000000"/>
          <w:sz w:val="22"/>
          <w:szCs w:val="22"/>
        </w:rPr>
      </w:pPr>
      <w:r>
        <w:rPr>
          <w:rFonts w:eastAsia="Times New Roman" w:ascii="Arial" w:hAnsi="Arial"/>
          <w:color w:val="000000"/>
          <w:sz w:val="22"/>
          <w:szCs w:val="22"/>
        </w:rPr>
        <w:t xml:space="preserve">La violazione da parte dell’operatore economico, sia quale concorrente, sia quale aggiudicatario, di uno degli impegni previsti dal presente può comportare: </w:t>
      </w:r>
    </w:p>
    <w:p>
      <w:pPr>
        <w:pStyle w:val="Normal"/>
        <w:spacing w:lineRule="auto" w:line="266"/>
        <w:jc w:val="both"/>
        <w:rPr>
          <w:rFonts w:ascii="Arial" w:hAnsi="Arial" w:eastAsia="Times New Roman"/>
          <w:color w:val="000000"/>
          <w:sz w:val="22"/>
          <w:szCs w:val="22"/>
        </w:rPr>
      </w:pPr>
      <w:r>
        <w:rPr>
          <w:rFonts w:eastAsia="Times New Roman" w:ascii="Arial" w:hAnsi="Arial"/>
          <w:color w:val="000000"/>
          <w:sz w:val="22"/>
          <w:szCs w:val="22"/>
        </w:rPr>
        <w:t xml:space="preserve">1. l’esclusione dalla gara; </w:t>
      </w:r>
    </w:p>
    <w:p>
      <w:pPr>
        <w:pStyle w:val="Normal"/>
        <w:spacing w:lineRule="auto" w:line="266"/>
        <w:jc w:val="both"/>
        <w:rPr>
          <w:rFonts w:ascii="Arial" w:hAnsi="Arial" w:eastAsia="Times New Roman"/>
          <w:color w:val="000000"/>
          <w:sz w:val="22"/>
          <w:szCs w:val="22"/>
        </w:rPr>
      </w:pPr>
      <w:r>
        <w:rPr>
          <w:rFonts w:eastAsia="Times New Roman" w:ascii="Arial" w:hAnsi="Arial"/>
          <w:color w:val="000000"/>
          <w:sz w:val="22"/>
          <w:szCs w:val="22"/>
        </w:rPr>
        <w:t xml:space="preserve">2. l’escussione della cauzione provvisoria a corredo dell'offerta; </w:t>
      </w:r>
    </w:p>
    <w:p>
      <w:pPr>
        <w:pStyle w:val="Normal"/>
        <w:spacing w:lineRule="auto" w:line="266"/>
        <w:jc w:val="both"/>
        <w:rPr>
          <w:rFonts w:ascii="Arial" w:hAnsi="Arial" w:eastAsia="Times New Roman"/>
          <w:color w:val="000000"/>
          <w:sz w:val="22"/>
          <w:szCs w:val="22"/>
        </w:rPr>
      </w:pPr>
      <w:r>
        <w:rPr>
          <w:rFonts w:eastAsia="Times New Roman" w:ascii="Arial" w:hAnsi="Arial"/>
          <w:color w:val="000000"/>
          <w:sz w:val="22"/>
          <w:szCs w:val="22"/>
        </w:rPr>
        <w:t xml:space="preserve">3. la risoluzione espressa del contratto ai sensi dell’articolo 1456 del c.c., per grave inadempimento e in danno dell'operatore economico; </w:t>
      </w:r>
    </w:p>
    <w:p>
      <w:pPr>
        <w:pStyle w:val="Normal"/>
        <w:spacing w:lineRule="auto" w:line="266"/>
        <w:jc w:val="both"/>
        <w:rPr>
          <w:rFonts w:ascii="Arial" w:hAnsi="Arial" w:eastAsia="Times New Roman"/>
          <w:color w:val="000000"/>
          <w:sz w:val="22"/>
          <w:szCs w:val="22"/>
        </w:rPr>
      </w:pPr>
      <w:r>
        <w:rPr>
          <w:rFonts w:eastAsia="Times New Roman" w:ascii="Arial" w:hAnsi="Arial"/>
          <w:color w:val="000000"/>
          <w:sz w:val="22"/>
          <w:szCs w:val="22"/>
        </w:rPr>
        <w:t xml:space="preserve">4. l’escussione della cauzione definitiva a garanzia dell’esecuzione del contratto, impregiudicata la prova dell’esistenza di un danno maggiore; </w:t>
      </w:r>
    </w:p>
    <w:p>
      <w:pPr>
        <w:pStyle w:val="Normal"/>
        <w:spacing w:lineRule="auto" w:line="266"/>
        <w:jc w:val="both"/>
        <w:rPr>
          <w:rFonts w:ascii="Arial" w:hAnsi="Arial" w:eastAsia="Times New Roman"/>
          <w:color w:val="000000"/>
          <w:sz w:val="22"/>
          <w:szCs w:val="22"/>
        </w:rPr>
      </w:pPr>
      <w:r>
        <w:rPr>
          <w:rFonts w:eastAsia="Times New Roman" w:ascii="Arial" w:hAnsi="Arial"/>
          <w:color w:val="000000"/>
          <w:sz w:val="22"/>
          <w:szCs w:val="22"/>
        </w:rPr>
        <w:t xml:space="preserve">5. la responsabilità per danno arrecato alla stazione appaltante nella misura del 10% del valore del contratto (se non coperto dall'incameramento della cauzione definitiva), impregiudicata la prova dell’esistenza di un danno maggiore; </w:t>
      </w:r>
    </w:p>
    <w:p>
      <w:pPr>
        <w:pStyle w:val="Normal"/>
        <w:spacing w:lineRule="auto" w:line="266"/>
        <w:jc w:val="both"/>
        <w:rPr>
          <w:rFonts w:ascii="Arial" w:hAnsi="Arial" w:eastAsia="Times New Roman"/>
          <w:color w:val="000000"/>
          <w:sz w:val="22"/>
          <w:szCs w:val="22"/>
        </w:rPr>
      </w:pPr>
      <w:r>
        <w:rPr>
          <w:rFonts w:eastAsia="Times New Roman" w:ascii="Arial" w:hAnsi="Arial"/>
          <w:color w:val="000000"/>
          <w:sz w:val="22"/>
          <w:szCs w:val="22"/>
        </w:rPr>
        <w:t xml:space="preserve">6. l’esclusione del concorrente dalle gare indette dalla stazione appaltante per un periodo non inferiore ad un anno e non superiore a cinque anni, determinato in ragione della gravità dei fatti accertati e dell'entità economica del contratto; </w:t>
      </w:r>
    </w:p>
    <w:p>
      <w:pPr>
        <w:pStyle w:val="Normal"/>
        <w:spacing w:lineRule="auto" w:line="266"/>
        <w:jc w:val="both"/>
        <w:rPr>
          <w:rFonts w:ascii="Arial" w:hAnsi="Arial" w:eastAsia="Times New Roman"/>
          <w:b/>
          <w:bCs/>
          <w:color w:val="000000"/>
          <w:sz w:val="22"/>
          <w:szCs w:val="22"/>
        </w:rPr>
      </w:pPr>
      <w:r>
        <w:rPr>
          <w:rFonts w:eastAsia="Times New Roman" w:ascii="Arial" w:hAnsi="Arial"/>
          <w:color w:val="000000"/>
          <w:sz w:val="22"/>
          <w:szCs w:val="22"/>
        </w:rPr>
        <w:t>7. la segnalazione all’Autorità nazionale anticorruzione e all’Autorità giudiziaria.</w:t>
      </w:r>
    </w:p>
    <w:p>
      <w:pPr>
        <w:pStyle w:val="Normal"/>
        <w:spacing w:lineRule="auto" w:line="266"/>
        <w:jc w:val="both"/>
        <w:rPr>
          <w:rFonts w:ascii="Arial" w:hAnsi="Arial" w:eastAsia="Times New Roman"/>
          <w:color w:val="000000"/>
          <w:sz w:val="22"/>
          <w:szCs w:val="22"/>
        </w:rPr>
      </w:pPr>
      <w:r>
        <w:rPr/>
      </w:r>
    </w:p>
    <w:p>
      <w:pPr>
        <w:pStyle w:val="Normal"/>
        <w:spacing w:lineRule="auto" w:line="266"/>
        <w:jc w:val="both"/>
        <w:rPr>
          <w:rFonts w:ascii="Arial" w:hAnsi="Arial" w:eastAsia="Times New Roman"/>
          <w:color w:val="000000"/>
          <w:sz w:val="22"/>
          <w:szCs w:val="22"/>
        </w:rPr>
      </w:pPr>
      <w:r>
        <w:rPr>
          <w:rFonts w:eastAsia="Times New Roman" w:ascii="Arial" w:hAnsi="Arial"/>
          <w:b/>
          <w:bCs/>
          <w:color w:val="000000"/>
          <w:sz w:val="22"/>
          <w:szCs w:val="22"/>
        </w:rPr>
        <w:t xml:space="preserve">Articolo 6 </w:t>
      </w:r>
    </w:p>
    <w:p>
      <w:pPr>
        <w:pStyle w:val="Normal"/>
        <w:spacing w:lineRule="auto" w:line="266"/>
        <w:jc w:val="both"/>
        <w:rPr>
          <w:rFonts w:ascii="Arial" w:hAnsi="Arial"/>
          <w:sz w:val="22"/>
          <w:szCs w:val="22"/>
        </w:rPr>
      </w:pPr>
      <w:r>
        <w:rPr>
          <w:rFonts w:eastAsia="Times New Roman" w:ascii="Arial" w:hAnsi="Arial"/>
          <w:color w:val="000000"/>
          <w:sz w:val="22"/>
          <w:szCs w:val="22"/>
        </w:rPr>
        <w:t xml:space="preserve">Il presente vincola l’operatore economico per tutta la durata della procedura di gara e, in caso di aggiudicazione, sino al completamento, a regola d’arte, della prestazione contrattuale.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35fc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Arial"/>
      <w:color w:val="auto"/>
      <w:kern w:val="0"/>
      <w:sz w:val="24"/>
      <w:szCs w:val="24"/>
      <w:lang w:eastAsia="hi-IN" w:bidi="hi-IN" w:val="it-IT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estopreformattato" w:customStyle="1">
    <w:name w:val="Testo preformattato"/>
    <w:basedOn w:val="Normal"/>
    <w:qFormat/>
    <w:rsid w:val="006835fc"/>
    <w:pPr/>
    <w:rPr>
      <w:rFonts w:eastAsia="NSimSun" w:cs="Courier New"/>
      <w:sz w:val="20"/>
      <w:szCs w:val="20"/>
    </w:rPr>
  </w:style>
  <w:style w:type="paragraph" w:styleId="WW-Default" w:customStyle="1">
    <w:name w:val="WW-Default"/>
    <w:basedOn w:val="Normal"/>
    <w:qFormat/>
    <w:rsid w:val="006835fc"/>
    <w:pPr>
      <w:spacing w:lineRule="atLeast" w:line="200"/>
    </w:pPr>
    <w:rPr>
      <w:rFonts w:ascii="Calibri" w:hAnsi="Calibri" w:eastAsia="Calibri" w:cs="Calibri"/>
      <w:color w:val="000000"/>
    </w:rPr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LibreOffice/24.2.7.2$Windows_X86_64 LibreOffice_project/ee3885777aa7032db5a9b65deec9457448a91162</Application>
  <AppVersion>15.0000</AppVersion>
  <Pages>3</Pages>
  <Words>973</Words>
  <Characters>5996</Characters>
  <CharactersWithSpaces>6968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2026-03-25T13:41:00Z</dcterms:created>
  <dc:creator>giovanni olivotto</dc:creator>
  <dc:description/>
  <dc:language>it-IT</dc:language>
  <cp:lastModifiedBy/>
  <dcterms:modified xsi:type="dcterms:W3CDTF">2026-04-10T19:32:15Z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